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bookmarkStart w:id="0" w:name="_GoBack"/>
            <w:bookmarkEnd w:id="0"/>
            <w:r>
              <w:rPr>
                <w:b/>
                <w:sz w:val="32"/>
              </w:rPr>
              <w:br/>
              <w:t xml:space="preserve">Gesuch </w:t>
            </w:r>
            <w:r>
              <w:rPr>
                <w:b/>
                <w:sz w:val="32"/>
              </w:rPr>
              <w:br/>
              <w:t>um Nichtbekanntgabe einer Betreibung an Dritte</w:t>
            </w:r>
            <w:r>
              <w:rPr>
                <w:b/>
                <w:sz w:val="32"/>
              </w:rPr>
              <w:br/>
              <w:t>(Art. 8a Abs.  3 Bst. d SchKG)</w:t>
            </w:r>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Durch das Amt 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4"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 xml:space="preserve">Gläubiger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5"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w:t>
            </w:r>
            <w:proofErr w:type="spellStart"/>
            <w:r>
              <w:rPr>
                <w:sz w:val="20"/>
              </w:rPr>
              <w:t>GebV</w:t>
            </w:r>
            <w:proofErr w:type="spellEnd"/>
            <w:r>
              <w:rPr>
                <w:sz w:val="20"/>
              </w:rPr>
              <w:t xml:space="preserve"> SchKG beträgt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81" w:type="dxa"/>
          </w:tcPr>
          <w:p w:rsidR="002B34A1" w:rsidRDefault="003209B0">
            <w:pPr>
              <w:spacing w:line="240" w:lineRule="auto"/>
              <w:rPr>
                <w:sz w:val="20"/>
              </w:rPr>
            </w:pPr>
            <w:r>
              <w:rPr>
                <w:sz w:val="20"/>
              </w:rPr>
              <w:t>Datum sowie</w:t>
            </w:r>
          </w:p>
          <w:p w:rsidR="002B34A1" w:rsidRDefault="003209B0">
            <w:pPr>
              <w:spacing w:line="240" w:lineRule="auto"/>
              <w:rPr>
                <w:sz w:val="20"/>
              </w:rPr>
            </w:pPr>
            <w:r>
              <w:rPr>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d</w:t>
      </w:r>
      <w:r>
        <w:rPr>
          <w:b/>
          <w:sz w:val="24"/>
        </w:rPr>
        <w:t xml:space="preserve"> </w:t>
      </w:r>
    </w:p>
    <w:p w:rsidR="002B34A1" w:rsidRDefault="002B34A1">
      <w:pPr>
        <w:spacing w:line="240" w:lineRule="auto"/>
        <w:rPr>
          <w:b/>
          <w:sz w:val="24"/>
        </w:rPr>
      </w:pP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Funotenzeichen"/>
          <w:b/>
          <w:sz w:val="24"/>
        </w:rPr>
        <w:footnoteReference w:id="1"/>
      </w:r>
    </w:p>
    <w:p w:rsidR="002B34A1" w:rsidRDefault="002B34A1">
      <w:pPr>
        <w:spacing w:line="240" w:lineRule="auto"/>
        <w:rPr>
          <w:b/>
          <w:sz w:val="24"/>
        </w:rPr>
      </w:pPr>
    </w:p>
    <w:p w:rsidR="002B34A1" w:rsidRDefault="000C0072">
      <w:pPr>
        <w:spacing w:line="240" w:lineRule="auto"/>
        <w:outlineLvl w:val="4"/>
        <w:rPr>
          <w:rFonts w:eastAsia="Times New Roman"/>
          <w:b/>
          <w:color w:val="000000"/>
          <w:sz w:val="20"/>
          <w:szCs w:val="23"/>
          <w:lang w:val="de-DE" w:eastAsia="de-CH"/>
        </w:rPr>
      </w:pPr>
      <w:hyperlink r:id="rId9" w:anchor="a8a" w:history="1">
        <w:r w:rsidR="003209B0">
          <w:rPr>
            <w:rFonts w:eastAsia="Times New Roman"/>
            <w:b/>
            <w:bCs/>
            <w:sz w:val="20"/>
            <w:szCs w:val="23"/>
            <w:lang w:val="de-DE" w:eastAsia="de-CH"/>
          </w:rPr>
          <w:t>Art. 8</w:t>
        </w:r>
        <w:r w:rsidR="003209B0">
          <w:rPr>
            <w:rFonts w:eastAsia="Times New Roman"/>
            <w:b/>
            <w:i/>
            <w:iCs/>
            <w:sz w:val="20"/>
            <w:szCs w:val="23"/>
            <w:lang w:val="de-DE" w:eastAsia="de-CH"/>
          </w:rPr>
          <w:t>a</w:t>
        </w:r>
      </w:hyperlink>
      <w:r w:rsidR="003209B0">
        <w:rPr>
          <w:rFonts w:eastAsia="Times New Roman"/>
          <w:b/>
          <w:sz w:val="20"/>
          <w:szCs w:val="23"/>
          <w:lang w:val="de-DE" w:eastAsia="de-CH"/>
        </w:rPr>
        <w:t xml:space="preserve"> SchKG</w:t>
      </w:r>
      <w:hyperlink r:id="rId10" w:anchor="fn-#a8a-1" w:history="1"/>
      <w:r w:rsidR="003209B0">
        <w:rPr>
          <w:rFonts w:eastAsia="Times New Roman"/>
          <w:b/>
          <w:sz w:val="14"/>
          <w:szCs w:val="17"/>
          <w:vertAlign w:val="superscript"/>
          <w:lang w:val="de-DE" w:eastAsia="de-CH"/>
        </w:rPr>
        <w:t xml:space="preserve"> </w:t>
      </w:r>
      <w:r w:rsidR="003209B0">
        <w:rPr>
          <w:rFonts w:eastAsia="Times New Roman"/>
          <w:b/>
          <w:sz w:val="14"/>
          <w:szCs w:val="17"/>
          <w:vertAlign w:val="superscript"/>
          <w:lang w:val="de-DE" w:eastAsia="de-CH"/>
        </w:rPr>
        <w:tab/>
      </w:r>
      <w:r w:rsidR="003209B0">
        <w:rPr>
          <w:rFonts w:eastAsia="Times New Roman"/>
          <w:b/>
          <w:sz w:val="14"/>
          <w:szCs w:val="17"/>
          <w:vertAlign w:val="superscript"/>
          <w:lang w:val="de-DE" w:eastAsia="de-CH"/>
        </w:rPr>
        <w:br/>
      </w:r>
      <w:hyperlink r:id="rId11" w:anchor="a8a" w:history="1">
        <w:r w:rsidR="003209B0">
          <w:rPr>
            <w:rFonts w:eastAsia="Times New Roman"/>
            <w:b/>
            <w:sz w:val="20"/>
            <w:szCs w:val="23"/>
            <w:lang w:val="de-DE" w:eastAsia="de-CH"/>
          </w:rPr>
          <w:t>E. Protokolle und Register / 2. Einsichtsrecht</w:t>
        </w:r>
      </w:hyperlink>
      <w:r w:rsidR="003209B0">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7" w:name="1"/>
      <w:r>
        <w:rPr>
          <w:rFonts w:eastAsia="Times New Roman"/>
          <w:color w:val="006699"/>
          <w:sz w:val="14"/>
          <w:szCs w:val="17"/>
          <w:vertAlign w:val="superscript"/>
          <w:lang w:val="de-DE" w:eastAsia="de-CH"/>
        </w:rPr>
        <w:t>1</w:t>
      </w:r>
      <w:bookmarkEnd w:id="7"/>
      <w:r>
        <w:rPr>
          <w:rFonts w:eastAsia="Times New Roman"/>
          <w:color w:val="454545"/>
          <w:sz w:val="20"/>
          <w:szCs w:val="23"/>
          <w:lang w:val="de-DE" w:eastAsia="de-CH"/>
        </w:rPr>
        <w:t> Jede Person, die ein Interesse glaubhaft macht, kann die Protokolle und Register der Betreibungs- und der Konkursämter einsehen und sich Auszüge daraus geben lassen.</w:t>
      </w:r>
    </w:p>
    <w:p w:rsidR="002B34A1" w:rsidRDefault="003209B0">
      <w:pPr>
        <w:spacing w:after="165" w:line="240" w:lineRule="auto"/>
        <w:rPr>
          <w:rFonts w:eastAsia="Times New Roman"/>
          <w:color w:val="454545"/>
          <w:sz w:val="20"/>
          <w:szCs w:val="23"/>
          <w:lang w:val="de-DE" w:eastAsia="de-CH"/>
        </w:rPr>
      </w:pPr>
      <w:bookmarkStart w:id="8" w:name="2"/>
      <w:r>
        <w:rPr>
          <w:rFonts w:eastAsia="Times New Roman"/>
          <w:color w:val="006699"/>
          <w:sz w:val="14"/>
          <w:szCs w:val="17"/>
          <w:vertAlign w:val="superscript"/>
          <w:lang w:val="de-DE" w:eastAsia="de-CH"/>
        </w:rPr>
        <w:t>2</w:t>
      </w:r>
      <w:bookmarkEnd w:id="8"/>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9" w:name="3"/>
      <w:r>
        <w:rPr>
          <w:rFonts w:eastAsia="Times New Roman"/>
          <w:color w:val="006699"/>
          <w:sz w:val="14"/>
          <w:szCs w:val="17"/>
          <w:vertAlign w:val="superscript"/>
          <w:lang w:val="de-DE" w:eastAsia="de-CH"/>
        </w:rPr>
        <w:t>3</w:t>
      </w:r>
      <w:bookmarkEnd w:id="9"/>
      <w:r>
        <w:rPr>
          <w:rFonts w:eastAsia="Times New Roman"/>
          <w:color w:val="454545"/>
          <w:sz w:val="20"/>
          <w:szCs w:val="23"/>
          <w:lang w:val="de-DE" w:eastAsia="de-CH"/>
        </w:rPr>
        <w:t> Die Ämter geben Dritten von einer Betreibung keine Kenntnis,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2"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b. der Schuldner mit einer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10" w:name="4"/>
      <w:r>
        <w:rPr>
          <w:rFonts w:eastAsia="Times New Roman"/>
          <w:color w:val="006699"/>
          <w:sz w:val="14"/>
          <w:szCs w:val="17"/>
          <w:vertAlign w:val="superscript"/>
          <w:lang w:val="de-DE" w:eastAsia="de-CH"/>
        </w:rPr>
        <w:t>4</w:t>
      </w:r>
      <w:bookmarkEnd w:id="10"/>
      <w:r>
        <w:rPr>
          <w:rFonts w:eastAsia="Times New Roman"/>
          <w:color w:val="454545"/>
          <w:sz w:val="20"/>
          <w:szCs w:val="23"/>
          <w:lang w:val="de-DE" w:eastAsia="de-CH"/>
        </w:rPr>
        <w:t> Das Einsichtsrecht Dritter erlischt fünf Jahre nach Abschluss des Verfahrens. Gerichts- und Verwaltungsbehörden können im Interesse eines Verfahrens, das bei ihnen hängig ist, weiterhin Auszüge verlangen.</w:t>
      </w:r>
    </w:p>
    <w:p w:rsidR="002B34A1" w:rsidRDefault="002B34A1">
      <w:pPr>
        <w:spacing w:line="240" w:lineRule="auto"/>
        <w:outlineLvl w:val="4"/>
        <w:rPr>
          <w:rFonts w:eastAsia="Times New Roman"/>
          <w:b/>
          <w:bCs/>
          <w:sz w:val="20"/>
          <w:szCs w:val="23"/>
          <w:lang w:val="de-DE" w:eastAsia="de-CH"/>
        </w:rPr>
      </w:pPr>
    </w:p>
    <w:p w:rsidR="002B34A1" w:rsidRDefault="000C0072">
      <w:pPr>
        <w:spacing w:line="240" w:lineRule="auto"/>
        <w:outlineLvl w:val="4"/>
        <w:rPr>
          <w:rFonts w:eastAsia="Times New Roman"/>
          <w:b/>
          <w:bCs/>
          <w:sz w:val="20"/>
          <w:szCs w:val="23"/>
          <w:lang w:val="de-DE" w:eastAsia="de-CH"/>
        </w:rPr>
      </w:pPr>
      <w:hyperlink r:id="rId13" w:anchor="a17" w:history="1">
        <w:r w:rsidR="003209B0">
          <w:rPr>
            <w:rFonts w:eastAsia="Times New Roman"/>
            <w:b/>
            <w:bCs/>
            <w:sz w:val="20"/>
            <w:szCs w:val="23"/>
            <w:lang w:val="de-DE" w:eastAsia="de-CH"/>
          </w:rPr>
          <w:t>Art. 17 Abs. 1 bis 3 SchKG</w:t>
        </w:r>
        <w:r w:rsidR="003209B0">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Klage vorschreibt, kann gegen jede Verfügung eines Betreibungs- oder eines Konkursamtes bei der Aufsichtsbehörde wegen Gesetzesverletzung oder Unangemessenheit Beschwerde geführt werden.</w:t>
      </w:r>
      <w:hyperlink r:id="rId14"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w:t>
      </w:r>
      <w:proofErr w:type="spellStart"/>
      <w:r>
        <w:rPr>
          <w:rFonts w:eastAsia="Times New Roman"/>
          <w:b/>
          <w:bCs/>
          <w:sz w:val="20"/>
          <w:szCs w:val="23"/>
          <w:lang w:val="de-DE" w:eastAsia="de-CH"/>
        </w:rPr>
        <w:t>GebV</w:t>
      </w:r>
      <w:proofErr w:type="spellEnd"/>
      <w:r>
        <w:rPr>
          <w:rFonts w:eastAsia="Times New Roman"/>
          <w:b/>
          <w:bCs/>
          <w:sz w:val="20"/>
          <w:szCs w:val="23"/>
          <w:lang w:val="de-DE" w:eastAsia="de-CH"/>
        </w:rPr>
        <w:t xml:space="preserve">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 xml:space="preserve">Die Gebühr für das Gesuch nach Artikel 8a Absatz 3 Buchstabe d SchKG beträgt pauschal vierzig Franken. Mit der Bezahlung der Gebühr sind sämtliche nachfolgenden Verfahrensschritte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A1" w:rsidRDefault="003209B0">
      <w:pPr>
        <w:spacing w:line="240" w:lineRule="auto"/>
      </w:pPr>
      <w:r>
        <w:separator/>
      </w:r>
    </w:p>
  </w:endnote>
  <w:endnote w:type="continuationSeparator" w:id="0">
    <w:p w:rsidR="002B34A1" w:rsidRDefault="0032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A1" w:rsidRDefault="003209B0">
      <w:pPr>
        <w:spacing w:line="240" w:lineRule="auto"/>
      </w:pPr>
      <w:r>
        <w:separator/>
      </w:r>
    </w:p>
  </w:footnote>
  <w:footnote w:type="continuationSeparator" w:id="0">
    <w:p w:rsidR="002B34A1" w:rsidRDefault="003209B0">
      <w:pPr>
        <w:spacing w:line="240" w:lineRule="auto"/>
      </w:pPr>
      <w:r>
        <w:continuationSeparator/>
      </w:r>
    </w:p>
  </w:footnote>
  <w:footnote w:id="1">
    <w:p w:rsidR="002B34A1" w:rsidRDefault="003209B0">
      <w:pPr>
        <w:pStyle w:val="Funotentext"/>
      </w:pPr>
      <w:r>
        <w:rPr>
          <w:rStyle w:val="Funotenzeichen"/>
        </w:rPr>
        <w:footnoteRef/>
      </w:r>
      <w:r>
        <w:t xml:space="preserve"> In Kraft ab dem 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A1"/>
    <w:rsid w:val="000C0072"/>
    <w:rsid w:val="002B34A1"/>
    <w:rsid w:val="003209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hyperlink" Target="https://www.admin.ch/opc/de/classified-compilation/188900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388816-7030-443C-8403-3FBBD3FC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 2 fak Gesuch um Nichtbekanntgabe einer Betreibung an Dritt (Art. 8a Abs. 3 Bst. d SchKG)</vt:lpstr>
    </vt:vector>
  </TitlesOfParts>
  <Company>Bundesverwaltung</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subject/>
  <dc:creator>Sibyll Walter</dc:creator>
  <cp:keywords/>
  <dc:description/>
  <cp:lastModifiedBy>Linus Suter</cp:lastModifiedBy>
  <cp:revision>2</cp:revision>
  <cp:lastPrinted>2018-08-31T08:19:00Z</cp:lastPrinted>
  <dcterms:created xsi:type="dcterms:W3CDTF">2018-10-25T15:43:00Z</dcterms:created>
  <dcterms:modified xsi:type="dcterms:W3CDTF">2018-10-25T15:43:00Z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